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"/>
        <w:rPr>
          <w:rFonts w:ascii="Times New Roman"/>
          <w:sz w:val="19"/>
        </w:rPr>
      </w:pPr>
    </w:p>
    <w:p>
      <w:pPr>
        <w:pStyle w:val="2"/>
        <w:ind w:left="1216"/>
        <w:rPr>
          <w:rFonts w:ascii="Times New Roman" w:eastAsia="Times New Roman"/>
        </w:rPr>
      </w:pPr>
      <w:r>
        <w:t xml:space="preserve">附件 </w:t>
      </w:r>
      <w:r>
        <w:rPr>
          <w:rFonts w:ascii="Times New Roman" w:eastAsia="Times New Roman"/>
        </w:rPr>
        <w:t>1</w: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3"/>
        <w:rPr>
          <w:rFonts w:ascii="Times New Roman"/>
          <w:sz w:val="17"/>
        </w:rPr>
      </w:pPr>
    </w:p>
    <w:p>
      <w:pPr>
        <w:pStyle w:val="3"/>
        <w:spacing w:line="194" w:lineRule="auto"/>
      </w:pPr>
      <w:r>
        <w:rPr>
          <w:rFonts w:ascii="Times New Roman" w:eastAsia="Times New Roman"/>
        </w:rPr>
        <w:t xml:space="preserve">2024 </w:t>
      </w:r>
      <w:r>
        <w:t>年度浙江省人力资源和社会保障课题选题指南</w:t>
      </w:r>
    </w:p>
    <w:p>
      <w:pPr>
        <w:pStyle w:val="2"/>
        <w:spacing w:before="14"/>
        <w:rPr>
          <w:rFonts w:ascii="方正小标宋简体"/>
          <w:sz w:val="28"/>
        </w:rPr>
      </w:pPr>
    </w:p>
    <w:p>
      <w:pPr>
        <w:pStyle w:val="2"/>
        <w:spacing w:before="1"/>
        <w:ind w:left="1653"/>
      </w:pPr>
      <w:r>
        <w:t>一、重点课题</w:t>
      </w:r>
    </w:p>
    <w:p>
      <w:pPr>
        <w:pStyle w:val="2"/>
        <w:spacing w:before="152"/>
        <w:ind w:left="1653"/>
      </w:pPr>
      <w:r>
        <w:t>（一）构建完善高质量充分就业体系研究</w:t>
      </w:r>
    </w:p>
    <w:p>
      <w:pPr>
        <w:pStyle w:val="2"/>
        <w:spacing w:before="153" w:line="369" w:lineRule="auto"/>
        <w:ind w:left="1216" w:right="1107" w:firstLine="436"/>
        <w:jc w:val="both"/>
      </w:pPr>
      <w:r>
        <w:rPr>
          <w:spacing w:val="-6"/>
        </w:rPr>
        <w:t>聚焦“人人有事做，家家有收入”目标，围绕构建完善高质</w:t>
      </w:r>
      <w:r>
        <w:rPr>
          <w:spacing w:val="-7"/>
        </w:rPr>
        <w:t>量充分就业体系开展理论和对策研究。着眼未来一个时期我省劳动力市场变动情况，从形成更多就业机会、更优就业结构、更强就业能力、更好就业生态等维度，提出构建完善高质量充分就业体系的思路举措。</w:t>
      </w:r>
    </w:p>
    <w:p>
      <w:pPr>
        <w:pStyle w:val="2"/>
        <w:spacing w:line="281" w:lineRule="exact"/>
        <w:ind w:left="1653"/>
      </w:pPr>
      <w:r>
        <w:t>（二）构建完善高品质共富社保体系研究</w:t>
      </w:r>
    </w:p>
    <w:p>
      <w:pPr>
        <w:pStyle w:val="2"/>
        <w:spacing w:before="152" w:line="369" w:lineRule="auto"/>
        <w:ind w:left="1216" w:right="1107" w:firstLine="436"/>
        <w:jc w:val="both"/>
      </w:pPr>
      <w:r>
        <w:rPr>
          <w:spacing w:val="-5"/>
        </w:rPr>
        <w:t xml:space="preserve">社会保障是治国安邦的大问题，事关千家万户的切身利益， </w:t>
      </w:r>
      <w:r>
        <w:rPr>
          <w:spacing w:val="-4"/>
        </w:rPr>
        <w:t>直接体现省域治理现代化和共同富裕的成色 基于当前社保体系</w:t>
      </w:r>
      <w:r>
        <w:rPr>
          <w:spacing w:val="-7"/>
        </w:rPr>
        <w:t>建设现状开展理论和对策研究，从体制、机制和制度层面挖掘存在的问题，分析其成因，提出构建完善高品质共富社保体系的思</w:t>
      </w:r>
      <w:r>
        <w:rPr>
          <w:spacing w:val="-5"/>
        </w:rPr>
        <w:t>路举措。</w:t>
      </w:r>
    </w:p>
    <w:p>
      <w:pPr>
        <w:pStyle w:val="2"/>
        <w:spacing w:line="281" w:lineRule="exact"/>
        <w:ind w:left="1653"/>
      </w:pPr>
      <w:r>
        <w:t>（三）构建完善高素质人才服务体系研究</w:t>
      </w:r>
    </w:p>
    <w:p>
      <w:pPr>
        <w:pStyle w:val="2"/>
        <w:spacing w:before="141"/>
        <w:ind w:left="1653"/>
      </w:pPr>
      <w:r>
        <w:t>聚焦激发活力之源，围绕构建完善高素质人才服务体系开展</w:t>
      </w:r>
    </w:p>
    <w:p>
      <w:pPr>
        <w:pStyle w:val="2"/>
        <w:spacing w:before="4"/>
        <w:rPr>
          <w:sz w:val="16"/>
        </w:rPr>
      </w:pPr>
    </w:p>
    <w:p>
      <w:pPr>
        <w:pStyle w:val="2"/>
        <w:spacing w:line="357" w:lineRule="auto"/>
        <w:ind w:left="1216" w:right="1107"/>
        <w:jc w:val="both"/>
      </w:pPr>
      <w:r>
        <w:rPr>
          <w:spacing w:val="-7"/>
        </w:rPr>
        <w:t>理论和对策研究。从加大引才育才力度、完善人才评价机制、加快发展人力资源服务产业等维度提出对策建议，为推动人才强省</w:t>
      </w:r>
      <w:r>
        <w:rPr>
          <w:spacing w:val="-9"/>
        </w:rPr>
        <w:t>建设主动塑造和加速释放人才红利。</w:t>
      </w:r>
    </w:p>
    <w:p>
      <w:pPr>
        <w:pStyle w:val="2"/>
        <w:ind w:left="1653"/>
      </w:pPr>
      <w:r>
        <w:t>（四）构建完善高质效人社治理体系研究</w:t>
      </w:r>
    </w:p>
    <w:p>
      <w:pPr>
        <w:pStyle w:val="2"/>
        <w:spacing w:before="139" w:line="357" w:lineRule="auto"/>
        <w:ind w:left="1216" w:right="1005" w:firstLine="436"/>
      </w:pPr>
      <w:r>
        <w:rPr>
          <w:spacing w:val="-5"/>
        </w:rPr>
        <w:t>聚焦筑牢连心之桥，围绕构建完善高质效人社治理体系开展</w:t>
      </w:r>
      <w:r>
        <w:rPr>
          <w:spacing w:val="-9"/>
        </w:rPr>
        <w:t xml:space="preserve">理论和对策研究。从强化劳动关系源头治理、深化“浙江无欠薪” </w:t>
      </w:r>
      <w:r>
        <w:rPr>
          <w:spacing w:val="-8"/>
        </w:rPr>
        <w:t>行动、实现人社公共服务均等化等维度提出对策建议，持续推进</w:t>
      </w:r>
      <w:r>
        <w:rPr>
          <w:spacing w:val="-10"/>
        </w:rPr>
        <w:t>人社治理现代化改革，以保障大民生来守护大平安、促进大治理。</w:t>
      </w:r>
    </w:p>
    <w:p>
      <w:pPr>
        <w:pStyle w:val="2"/>
        <w:spacing w:line="279" w:lineRule="exact"/>
        <w:ind w:left="1653"/>
      </w:pPr>
      <w:r>
        <w:t>（五）我省高技能领军人才培育机制研究</w:t>
      </w:r>
    </w:p>
    <w:p>
      <w:pPr>
        <w:pStyle w:val="2"/>
        <w:spacing w:before="138" w:line="357" w:lineRule="auto"/>
        <w:ind w:left="1216" w:right="1107" w:firstLine="436"/>
      </w:pPr>
      <w:r>
        <w:rPr>
          <w:spacing w:val="-4"/>
        </w:rPr>
        <w:t xml:space="preserve">围绕我省重大战略、重大工程、重大项目、重点产业需求 </w:t>
      </w:r>
      <w:r>
        <w:rPr>
          <w:spacing w:val="-9"/>
        </w:rPr>
        <w:t>从建立健全高技能领军人才培养、使用、评价、激励机制为重要</w:t>
      </w:r>
      <w:r>
        <w:rPr>
          <w:spacing w:val="-7"/>
        </w:rPr>
        <w:t>切入点开展理论和对策研究，为加快打造省域高质量发展所需的技术技能型、复合技能型、知识技能型和数字技能型领军人才队伍提供决策参考。</w:t>
      </w:r>
    </w:p>
    <w:p>
      <w:pPr>
        <w:pStyle w:val="2"/>
        <w:ind w:left="1653"/>
      </w:pPr>
      <w:r>
        <w:t>（六）我省多层次多支柱养老保险体系建设研究</w:t>
      </w:r>
    </w:p>
    <w:p>
      <w:pPr>
        <w:pStyle w:val="2"/>
        <w:spacing w:before="139" w:line="357" w:lineRule="auto"/>
        <w:ind w:left="1216" w:right="1107" w:firstLine="436"/>
        <w:jc w:val="both"/>
      </w:pPr>
      <w:r>
        <w:rPr>
          <w:spacing w:val="-6"/>
        </w:rPr>
        <w:t>全面分析我省养老保险体系现状以及存在的问题，研究提出</w:t>
      </w:r>
      <w:r>
        <w:rPr>
          <w:spacing w:val="-7"/>
        </w:rPr>
        <w:t>加快发展企业年金、个人养老金等实施路径和方法举措，重点研究在省域权限内运用可行的政策撬动商业保险，充分发挥商业保</w:t>
      </w:r>
      <w:r>
        <w:rPr>
          <w:spacing w:val="-9"/>
        </w:rPr>
        <w:t>险作为第三支柱作用的思路举措。</w:t>
      </w:r>
    </w:p>
    <w:p>
      <w:pPr>
        <w:pStyle w:val="2"/>
        <w:spacing w:line="282" w:lineRule="exact"/>
        <w:ind w:left="1653"/>
      </w:pPr>
      <w:r>
        <w:t>（七）新就业形态劳动者职业伤害保障研究</w:t>
      </w:r>
    </w:p>
    <w:p>
      <w:pPr>
        <w:pStyle w:val="2"/>
        <w:spacing w:before="138"/>
        <w:ind w:left="1653"/>
        <w:rPr>
          <w:sz w:val="20"/>
        </w:rPr>
      </w:pPr>
      <w:r>
        <w:t>以外卖骑手、快递小哥、网约车司机等群体为主要研究对象，</w:t>
      </w:r>
    </w:p>
    <w:p>
      <w:pPr>
        <w:pStyle w:val="2"/>
        <w:spacing w:before="4"/>
        <w:rPr>
          <w:sz w:val="16"/>
        </w:rPr>
      </w:pPr>
    </w:p>
    <w:p>
      <w:pPr>
        <w:pStyle w:val="2"/>
        <w:spacing w:line="357" w:lineRule="auto"/>
        <w:ind w:left="1216" w:right="1107"/>
        <w:jc w:val="both"/>
      </w:pPr>
      <w:r>
        <w:rPr>
          <w:spacing w:val="-6"/>
        </w:rPr>
        <w:t>深入剖析新就业形态劳动者职业伤害保障试点中存在的问题，就</w:t>
      </w:r>
      <w:r>
        <w:rPr>
          <w:spacing w:val="-9"/>
        </w:rPr>
        <w:t>如何合理确定保障范围、保障项目和保障水平等提出应对思路， 为建立完善新就业形态劳动者职业伤害保障制度提供决策参考。</w:t>
      </w:r>
    </w:p>
    <w:p>
      <w:pPr>
        <w:pStyle w:val="2"/>
        <w:spacing w:before="13"/>
        <w:ind w:left="1653"/>
      </w:pPr>
      <w:r>
        <w:t>（八）数字化背景下人力资源大市场构建路径研究</w:t>
      </w:r>
    </w:p>
    <w:p>
      <w:pPr>
        <w:pStyle w:val="2"/>
        <w:spacing w:before="149" w:line="369" w:lineRule="auto"/>
        <w:ind w:left="1216" w:right="1107" w:firstLine="436"/>
        <w:jc w:val="both"/>
      </w:pPr>
      <w:r>
        <w:rPr>
          <w:spacing w:val="-5"/>
        </w:rPr>
        <w:t>在数字化打破区域之间、城乡之间壁垒的背景下，深入剖析</w:t>
      </w:r>
      <w:r>
        <w:rPr>
          <w:spacing w:val="-9"/>
        </w:rPr>
        <w:t>当前我省人力资源大市场建设存在的主要问题和关键堵点，从制</w:t>
      </w:r>
      <w:r>
        <w:rPr>
          <w:spacing w:val="-7"/>
        </w:rPr>
        <w:t>度、管理、服务标准、信息系统等层面，提出推进高效规范、充</w:t>
      </w:r>
      <w:r>
        <w:rPr>
          <w:spacing w:val="-9"/>
        </w:rPr>
        <w:t>分开放的省域人力资源大市场建设的对策建议</w:t>
      </w:r>
    </w:p>
    <w:p>
      <w:pPr>
        <w:pStyle w:val="2"/>
        <w:spacing w:line="281" w:lineRule="exact"/>
        <w:ind w:left="1653"/>
      </w:pPr>
      <w:r>
        <w:rPr>
          <w:spacing w:val="-7"/>
        </w:rPr>
        <w:t>（</w:t>
      </w:r>
      <w:r>
        <w:rPr>
          <w:spacing w:val="-5"/>
        </w:rPr>
        <w:t>九</w:t>
      </w:r>
      <w:r>
        <w:rPr>
          <w:spacing w:val="-9"/>
        </w:rPr>
        <w:t>）</w:t>
      </w:r>
      <w:r>
        <w:rPr>
          <w:spacing w:val="-8"/>
        </w:rPr>
        <w:t>我省技工院校毕业生就业质量及就业趋势研究</w:t>
      </w:r>
    </w:p>
    <w:p>
      <w:pPr>
        <w:pStyle w:val="2"/>
        <w:spacing w:before="153" w:line="369" w:lineRule="auto"/>
        <w:ind w:left="1216" w:right="1107" w:firstLine="436"/>
        <w:jc w:val="both"/>
      </w:pPr>
      <w:r>
        <w:rPr>
          <w:spacing w:val="-5"/>
        </w:rPr>
        <w:t>以技工院校毕业生为调查研究对象，要求样本数量充足、调</w:t>
      </w:r>
      <w:r>
        <w:rPr>
          <w:spacing w:val="-9"/>
        </w:rPr>
        <w:t>查指标设计科学，客观反映近年来我省技工院校毕业生就业的质</w:t>
      </w:r>
      <w:r>
        <w:rPr>
          <w:spacing w:val="-7"/>
        </w:rPr>
        <w:t>量状况及存在问题，对未来几年我省技工院校毕业生的就业形势</w:t>
      </w:r>
      <w:r>
        <w:rPr>
          <w:spacing w:val="-9"/>
        </w:rPr>
        <w:t>作出趋势研判分析，为制定完善相关政策提供决策参考。</w:t>
      </w:r>
    </w:p>
    <w:p>
      <w:pPr>
        <w:pStyle w:val="2"/>
        <w:spacing w:line="281" w:lineRule="exact"/>
        <w:ind w:left="1653"/>
      </w:pPr>
      <w:r>
        <w:t>（十）推进人社基本公共服务均等化对策研究</w:t>
      </w:r>
    </w:p>
    <w:p>
      <w:pPr>
        <w:pStyle w:val="2"/>
        <w:spacing w:before="152" w:line="369" w:lineRule="auto"/>
        <w:ind w:left="1216" w:right="1107" w:firstLine="436"/>
        <w:jc w:val="both"/>
      </w:pPr>
      <w:r>
        <w:rPr>
          <w:spacing w:val="-5"/>
        </w:rPr>
        <w:t>客观分析我省城乡、区域、群体间存在的人社基本公共服务</w:t>
      </w:r>
      <w:r>
        <w:rPr>
          <w:spacing w:val="-9"/>
        </w:rPr>
        <w:t>差距，在深入挖掘其产生根源的基础上，提出缩小城乡、区域、</w:t>
      </w:r>
      <w:r>
        <w:rPr>
          <w:spacing w:val="-7"/>
        </w:rPr>
        <w:t>群体间人社基本公共服务差距的制度机制，为实现更加普惠、均</w:t>
      </w:r>
      <w:r>
        <w:rPr>
          <w:spacing w:val="-9"/>
        </w:rPr>
        <w:t>等、可及的人社基本公共服务提供理论依据和参考。</w:t>
      </w:r>
    </w:p>
    <w:p>
      <w:pPr>
        <w:pStyle w:val="2"/>
        <w:spacing w:line="281" w:lineRule="exact"/>
        <w:ind w:left="1653"/>
      </w:pPr>
      <w:r>
        <w:t>（十一）人社事业发展指数研究</w:t>
      </w:r>
    </w:p>
    <w:p>
      <w:pPr>
        <w:pStyle w:val="2"/>
        <w:spacing w:before="153"/>
        <w:ind w:left="1653"/>
      </w:pPr>
      <w:r>
        <w:t>从就业创业、社会保险、人才人事、劳动关系等业务领域出</w:t>
      </w:r>
    </w:p>
    <w:p>
      <w:pPr>
        <w:pStyle w:val="2"/>
        <w:spacing w:before="3"/>
        <w:rPr>
          <w:sz w:val="17"/>
        </w:rPr>
      </w:pPr>
    </w:p>
    <w:p>
      <w:pPr>
        <w:pStyle w:val="2"/>
        <w:spacing w:before="1" w:line="369" w:lineRule="auto"/>
        <w:ind w:left="1216" w:right="1107"/>
        <w:jc w:val="both"/>
      </w:pPr>
      <w:r>
        <w:rPr>
          <w:spacing w:val="-7"/>
        </w:rPr>
        <w:t>发，研究建立科学有效的指数，用于跟踪、评价各市人社事业发展状况。评价体系体现对人社事业内涵的准确把握，具体指标依</w:t>
      </w:r>
      <w:r>
        <w:rPr>
          <w:spacing w:val="-9"/>
        </w:rPr>
        <w:t>据可获得、可测量、可比较进行选取。</w:t>
      </w:r>
    </w:p>
    <w:p>
      <w:pPr>
        <w:pStyle w:val="2"/>
        <w:spacing w:line="281" w:lineRule="exact"/>
        <w:ind w:left="1653"/>
      </w:pPr>
      <w:r>
        <w:t>（十二）高校科研院所薪酬制度改革研究</w:t>
      </w:r>
    </w:p>
    <w:p>
      <w:pPr>
        <w:pStyle w:val="2"/>
        <w:spacing w:before="152" w:line="369" w:lineRule="auto"/>
        <w:ind w:left="1216" w:right="1107" w:firstLine="436"/>
        <w:jc w:val="both"/>
      </w:pPr>
      <w:r>
        <w:rPr>
          <w:spacing w:val="-5"/>
        </w:rPr>
        <w:t>聚焦高校、科研院所薪酬制度，深入剖析当前制度存在的问</w:t>
      </w:r>
      <w:r>
        <w:rPr>
          <w:spacing w:val="-9"/>
        </w:rPr>
        <w:t>题，围绕完善薪酬制度体系、优化内部分配制度、加强薪酬管理</w:t>
      </w:r>
      <w:r>
        <w:rPr>
          <w:spacing w:val="-7"/>
        </w:rPr>
        <w:t>监督等提出建议意见，为推进教育强省、科技强省、人才强省建设提供有力支撑。</w:t>
      </w:r>
    </w:p>
    <w:p>
      <w:pPr>
        <w:pStyle w:val="2"/>
        <w:spacing w:line="281" w:lineRule="exact"/>
        <w:ind w:left="1653"/>
      </w:pPr>
      <w:r>
        <w:rPr>
          <w:spacing w:val="-7"/>
        </w:rPr>
        <w:t>二、一般课题</w:t>
      </w:r>
    </w:p>
    <w:p>
      <w:pPr>
        <w:pStyle w:val="2"/>
        <w:spacing w:before="152"/>
        <w:ind w:left="1653"/>
      </w:pPr>
      <w:r>
        <w:t>（一）就业创业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0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我省高质量充分就业体系研究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新质生产力与打造高素养劳动者队伍研究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人口结构变化对劳动力供给的影响研究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零工市场服务提质增效对策研究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0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灵活就业统计监测路径研究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5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我省青年群体失业风险分析研究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0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重点群体就业帮扶机制研究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完善高校毕业生就业见习机制研究</w:t>
      </w:r>
    </w:p>
    <w:p>
      <w:pPr>
        <w:pStyle w:val="7"/>
        <w:numPr>
          <w:ilvl w:val="0"/>
          <w:numId w:val="1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探索多方合作的创业融资机制研究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50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省外劳动力在浙稳定就业问题研究</w:t>
      </w:r>
    </w:p>
    <w:p>
      <w:pPr>
        <w:pStyle w:val="2"/>
        <w:spacing w:before="3"/>
        <w:rPr>
          <w:sz w:val="17"/>
        </w:rPr>
      </w:pPr>
    </w:p>
    <w:p>
      <w:pPr>
        <w:pStyle w:val="7"/>
        <w:numPr>
          <w:ilvl w:val="0"/>
          <w:numId w:val="1"/>
        </w:numPr>
        <w:tabs>
          <w:tab w:val="left" w:pos="1923"/>
        </w:tabs>
        <w:spacing w:before="1" w:after="0" w:line="240" w:lineRule="auto"/>
        <w:ind w:left="1922" w:right="0" w:hanging="270"/>
        <w:jc w:val="left"/>
        <w:rPr>
          <w:sz w:val="22"/>
        </w:rPr>
      </w:pPr>
      <w:r>
        <w:rPr>
          <w:spacing w:val="-9"/>
          <w:sz w:val="22"/>
        </w:rPr>
        <w:t>我省劳务品牌建设现状及发展趋势研究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50" w:after="0" w:line="240" w:lineRule="auto"/>
        <w:ind w:left="1922" w:right="0" w:hanging="270"/>
        <w:jc w:val="left"/>
        <w:rPr>
          <w:sz w:val="22"/>
        </w:rPr>
      </w:pPr>
      <w:r>
        <w:rPr>
          <w:spacing w:val="-8"/>
          <w:sz w:val="22"/>
        </w:rPr>
        <w:t>我省就业援藏基地建设相关问题研究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53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公共就业服务均衡性调查与研究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52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社会组织促进就业相关问题研究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53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就业歧视相关问题研究</w:t>
      </w:r>
    </w:p>
    <w:p>
      <w:pPr>
        <w:pStyle w:val="7"/>
        <w:numPr>
          <w:ilvl w:val="0"/>
          <w:numId w:val="1"/>
        </w:numPr>
        <w:tabs>
          <w:tab w:val="left" w:pos="1923"/>
        </w:tabs>
        <w:spacing w:before="149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就业创业政策的国际比较和研究</w:t>
      </w:r>
    </w:p>
    <w:p>
      <w:pPr>
        <w:pStyle w:val="2"/>
        <w:spacing w:before="153"/>
        <w:ind w:left="1653"/>
      </w:pPr>
      <w:r>
        <w:t>（二）社会保障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企业职工基本养老保险参保扩面机制优化研究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共富背景下城乡居民基本养老保险提质路径研究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我省企业年金发展现状及优化路径研究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0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加快推进我省第三支柱个人养老金制度建设研究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新就业形态劳动者职业伤害保障研究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工伤保险制度省级统筹实施面临的相关问题研究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失业保险制度省级统筹实施面临的相关问题研究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1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提升我省社会保险基金风险防控能力的对策研究</w:t>
      </w:r>
    </w:p>
    <w:p>
      <w:pPr>
        <w:pStyle w:val="7"/>
        <w:numPr>
          <w:ilvl w:val="0"/>
          <w:numId w:val="2"/>
        </w:numPr>
        <w:tabs>
          <w:tab w:val="left" w:pos="1816"/>
        </w:tabs>
        <w:spacing w:before="155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商业保险对社会保险补充作用及协同发展研究</w:t>
      </w:r>
    </w:p>
    <w:p>
      <w:pPr>
        <w:pStyle w:val="7"/>
        <w:numPr>
          <w:ilvl w:val="0"/>
          <w:numId w:val="2"/>
        </w:numPr>
        <w:tabs>
          <w:tab w:val="left" w:pos="1923"/>
        </w:tabs>
        <w:spacing w:before="149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社会保险经办管理服务体系优化研究</w:t>
      </w:r>
    </w:p>
    <w:p>
      <w:pPr>
        <w:pStyle w:val="7"/>
        <w:numPr>
          <w:ilvl w:val="0"/>
          <w:numId w:val="2"/>
        </w:numPr>
        <w:tabs>
          <w:tab w:val="left" w:pos="1923"/>
        </w:tabs>
        <w:spacing w:before="153" w:after="0" w:line="240" w:lineRule="auto"/>
        <w:ind w:left="1922" w:right="0" w:hanging="270"/>
        <w:jc w:val="left"/>
        <w:rPr>
          <w:sz w:val="22"/>
        </w:rPr>
      </w:pPr>
      <w:r>
        <w:rPr>
          <w:spacing w:val="-8"/>
          <w:sz w:val="22"/>
        </w:rPr>
        <w:t>社会保障数字治理研究</w:t>
      </w:r>
    </w:p>
    <w:p>
      <w:pPr>
        <w:pStyle w:val="7"/>
        <w:numPr>
          <w:ilvl w:val="0"/>
          <w:numId w:val="2"/>
        </w:numPr>
        <w:tabs>
          <w:tab w:val="left" w:pos="1923"/>
        </w:tabs>
        <w:spacing w:before="152" w:after="0" w:line="240" w:lineRule="auto"/>
        <w:ind w:left="1922" w:right="0" w:hanging="270"/>
        <w:jc w:val="left"/>
        <w:rPr>
          <w:sz w:val="22"/>
        </w:rPr>
      </w:pPr>
      <w:r>
        <w:rPr>
          <w:spacing w:val="-7"/>
          <w:sz w:val="22"/>
        </w:rPr>
        <w:t>外籍人士在华养老保险政策研究</w:t>
      </w:r>
      <w:r>
        <w:rPr>
          <w:rFonts w:ascii="Times New Roman" w:hAnsi="Times New Roman" w:eastAsia="Times New Roman"/>
          <w:spacing w:val="-3"/>
          <w:sz w:val="22"/>
        </w:rPr>
        <w:t>——</w:t>
      </w:r>
      <w:r>
        <w:rPr>
          <w:spacing w:val="-6"/>
          <w:sz w:val="22"/>
        </w:rPr>
        <w:t>以义乌市为例</w:t>
      </w:r>
    </w:p>
    <w:p>
      <w:pPr>
        <w:pStyle w:val="7"/>
        <w:numPr>
          <w:ilvl w:val="0"/>
          <w:numId w:val="2"/>
        </w:numPr>
        <w:tabs>
          <w:tab w:val="left" w:pos="1923"/>
        </w:tabs>
        <w:spacing w:before="151" w:after="0" w:line="240" w:lineRule="auto"/>
        <w:ind w:left="1922" w:right="0" w:hanging="270"/>
        <w:jc w:val="left"/>
        <w:rPr>
          <w:sz w:val="20"/>
        </w:rPr>
      </w:pPr>
      <w:r>
        <w:rPr>
          <w:spacing w:val="-7"/>
          <w:sz w:val="22"/>
        </w:rPr>
        <w:t>社会保险政策国际比较研究</w:t>
      </w:r>
      <w:bookmarkStart w:id="0" w:name="_GoBack"/>
      <w:bookmarkEnd w:id="0"/>
    </w:p>
    <w:p>
      <w:pPr>
        <w:pStyle w:val="2"/>
        <w:spacing w:before="3"/>
        <w:rPr>
          <w:sz w:val="17"/>
        </w:rPr>
      </w:pPr>
    </w:p>
    <w:p>
      <w:pPr>
        <w:pStyle w:val="2"/>
        <w:spacing w:before="1"/>
        <w:ind w:left="1653"/>
      </w:pPr>
      <w:r>
        <w:t>（三）人事人才</w:t>
      </w:r>
    </w:p>
    <w:p>
      <w:pPr>
        <w:pStyle w:val="7"/>
        <w:numPr>
          <w:ilvl w:val="0"/>
          <w:numId w:val="3"/>
        </w:numPr>
        <w:tabs>
          <w:tab w:val="left" w:pos="1816"/>
        </w:tabs>
        <w:spacing w:before="150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省域技能型社会建设路径研究</w:t>
      </w:r>
    </w:p>
    <w:p>
      <w:pPr>
        <w:pStyle w:val="7"/>
        <w:numPr>
          <w:ilvl w:val="0"/>
          <w:numId w:val="3"/>
        </w:numPr>
        <w:tabs>
          <w:tab w:val="left" w:pos="1815"/>
        </w:tabs>
        <w:spacing w:before="153" w:after="0" w:line="240" w:lineRule="auto"/>
        <w:ind w:left="1814" w:right="0" w:hanging="164"/>
        <w:jc w:val="left"/>
        <w:rPr>
          <w:sz w:val="22"/>
        </w:rPr>
      </w:pPr>
      <w:r>
        <w:rPr>
          <w:spacing w:val="-9"/>
          <w:sz w:val="22"/>
        </w:rPr>
        <w:t>省域人力资源大市场高质量发展对策研究</w:t>
      </w:r>
    </w:p>
    <w:p>
      <w:pPr>
        <w:pStyle w:val="7"/>
        <w:numPr>
          <w:ilvl w:val="0"/>
          <w:numId w:val="3"/>
        </w:numPr>
        <w:tabs>
          <w:tab w:val="left" w:pos="1816"/>
        </w:tabs>
        <w:spacing w:before="152" w:after="0" w:line="240" w:lineRule="auto"/>
        <w:ind w:left="1815" w:right="0" w:hanging="163"/>
        <w:jc w:val="left"/>
        <w:rPr>
          <w:sz w:val="22"/>
        </w:rPr>
      </w:pPr>
      <w:r>
        <w:rPr>
          <w:spacing w:val="-6"/>
          <w:sz w:val="22"/>
        </w:rPr>
        <w:t>我省“</w:t>
      </w:r>
      <w:r>
        <w:rPr>
          <w:rFonts w:ascii="Times New Roman" w:hAnsi="Times New Roman" w:eastAsia="Times New Roman"/>
          <w:spacing w:val="-4"/>
          <w:sz w:val="22"/>
        </w:rPr>
        <w:t>415X</w:t>
      </w:r>
      <w:r>
        <w:rPr>
          <w:spacing w:val="-9"/>
          <w:sz w:val="22"/>
        </w:rPr>
        <w:t>”先进制造业集群技能人才支撑研究</w:t>
      </w:r>
    </w:p>
    <w:p>
      <w:pPr>
        <w:pStyle w:val="7"/>
        <w:numPr>
          <w:ilvl w:val="0"/>
          <w:numId w:val="3"/>
        </w:numPr>
        <w:tabs>
          <w:tab w:val="left" w:pos="1816"/>
        </w:tabs>
        <w:spacing w:before="153" w:after="0" w:line="240" w:lineRule="auto"/>
        <w:ind w:left="1815" w:right="0" w:hanging="163"/>
        <w:jc w:val="left"/>
        <w:rPr>
          <w:sz w:val="22"/>
        </w:rPr>
      </w:pPr>
      <w:r>
        <w:rPr>
          <w:spacing w:val="-9"/>
          <w:sz w:val="22"/>
        </w:rPr>
        <w:t>新型工业化背景下“双高”人才培养路径研究</w:t>
      </w:r>
    </w:p>
    <w:p>
      <w:pPr>
        <w:pStyle w:val="7"/>
        <w:numPr>
          <w:ilvl w:val="0"/>
          <w:numId w:val="3"/>
        </w:numPr>
        <w:tabs>
          <w:tab w:val="left" w:pos="1806"/>
        </w:tabs>
        <w:spacing w:before="149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民营经济高质量发展人才保障研究</w:t>
      </w:r>
    </w:p>
    <w:p>
      <w:pPr>
        <w:pStyle w:val="7"/>
        <w:numPr>
          <w:ilvl w:val="0"/>
          <w:numId w:val="3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我省数字经济技术人才需求与对策研究</w:t>
      </w:r>
    </w:p>
    <w:p>
      <w:pPr>
        <w:pStyle w:val="7"/>
        <w:numPr>
          <w:ilvl w:val="0"/>
          <w:numId w:val="3"/>
        </w:numPr>
        <w:tabs>
          <w:tab w:val="left" w:pos="1806"/>
        </w:tabs>
        <w:spacing w:before="152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高水平人才高地和集聚平台作用与机理研究</w:t>
      </w:r>
    </w:p>
    <w:p>
      <w:pPr>
        <w:pStyle w:val="7"/>
        <w:numPr>
          <w:ilvl w:val="0"/>
          <w:numId w:val="3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技能人才培养“一试双证”制度存在问题与对策研究</w:t>
      </w:r>
    </w:p>
    <w:p>
      <w:pPr>
        <w:pStyle w:val="7"/>
        <w:numPr>
          <w:ilvl w:val="0"/>
          <w:numId w:val="3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提升一流技师学院关键办学能力路径研究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0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职业技能培训差异化补贴制度探索研究</w:t>
      </w:r>
    </w:p>
    <w:p>
      <w:pPr>
        <w:pStyle w:val="7"/>
        <w:numPr>
          <w:ilvl w:val="0"/>
          <w:numId w:val="3"/>
        </w:numPr>
        <w:tabs>
          <w:tab w:val="left" w:pos="1911"/>
        </w:tabs>
        <w:spacing w:before="152" w:after="0" w:line="240" w:lineRule="auto"/>
        <w:ind w:left="1910" w:right="0" w:hanging="270"/>
        <w:jc w:val="left"/>
        <w:rPr>
          <w:sz w:val="22"/>
        </w:rPr>
      </w:pPr>
      <w:r>
        <w:rPr>
          <w:spacing w:val="-8"/>
          <w:sz w:val="22"/>
        </w:rPr>
        <w:t>新型研发机构人才激励政策创新研究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3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我省培育人工智能领域人才实证研究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2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用人主体培育技能人才有关配套制度研究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1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外国专家引进使用和服务保障机制研究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5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山区海岛县人才引育留用现状及对策研究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49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事业单位分类分行业工资收入情况统计分析研究</w:t>
      </w:r>
    </w:p>
    <w:p>
      <w:pPr>
        <w:pStyle w:val="7"/>
        <w:numPr>
          <w:ilvl w:val="0"/>
          <w:numId w:val="3"/>
        </w:numPr>
        <w:tabs>
          <w:tab w:val="left" w:pos="1914"/>
        </w:tabs>
        <w:spacing w:before="153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事业单位社会化服务薪酬激励现状及问题研究</w:t>
      </w:r>
    </w:p>
    <w:p>
      <w:pPr>
        <w:pStyle w:val="2"/>
        <w:spacing w:before="152"/>
        <w:ind w:left="1653"/>
      </w:pPr>
      <w:r>
        <w:t>（四）劳动关系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1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数字经济下共享型和谐劳动关系构建研究</w:t>
      </w:r>
    </w:p>
    <w:p>
      <w:pPr>
        <w:pStyle w:val="2"/>
        <w:spacing w:before="3"/>
        <w:rPr>
          <w:sz w:val="17"/>
        </w:rPr>
      </w:pPr>
    </w:p>
    <w:p>
      <w:pPr>
        <w:pStyle w:val="7"/>
        <w:numPr>
          <w:ilvl w:val="0"/>
          <w:numId w:val="4"/>
        </w:numPr>
        <w:tabs>
          <w:tab w:val="left" w:pos="1806"/>
        </w:tabs>
        <w:spacing w:before="1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有利于促进居民收入稳定增长的体制机制研究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0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劳动关系风险预警系统机制研究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8"/>
          <w:sz w:val="22"/>
        </w:rPr>
        <w:t>企业共享用工问题研究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2" w:after="0" w:line="240" w:lineRule="auto"/>
        <w:ind w:left="1805" w:right="0" w:hanging="165"/>
        <w:jc w:val="left"/>
        <w:rPr>
          <w:sz w:val="22"/>
        </w:rPr>
      </w:pPr>
      <w:r>
        <w:rPr>
          <w:spacing w:val="-8"/>
          <w:sz w:val="22"/>
        </w:rPr>
        <w:t>新就业形态劳动者的劳动权益保障研究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共富背景下我省工资指导线相关问题研究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49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最低工资标准调整评估机制研究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3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农民工工资支付兜底保障机制研究</w:t>
      </w:r>
    </w:p>
    <w:p>
      <w:pPr>
        <w:pStyle w:val="7"/>
        <w:numPr>
          <w:ilvl w:val="0"/>
          <w:numId w:val="4"/>
        </w:numPr>
        <w:tabs>
          <w:tab w:val="left" w:pos="1806"/>
        </w:tabs>
        <w:spacing w:before="152" w:after="0" w:line="240" w:lineRule="auto"/>
        <w:ind w:left="1805" w:right="0" w:hanging="165"/>
        <w:jc w:val="left"/>
        <w:rPr>
          <w:sz w:val="22"/>
        </w:rPr>
      </w:pPr>
      <w:r>
        <w:rPr>
          <w:spacing w:val="-9"/>
          <w:sz w:val="22"/>
        </w:rPr>
        <w:t>完善根治欠薪治理体系研究</w:t>
      </w:r>
    </w:p>
    <w:p>
      <w:pPr>
        <w:pStyle w:val="7"/>
        <w:numPr>
          <w:ilvl w:val="0"/>
          <w:numId w:val="4"/>
        </w:numPr>
        <w:tabs>
          <w:tab w:val="left" w:pos="1914"/>
        </w:tabs>
        <w:spacing w:before="153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集体协商框架下企业职工工资共同决定机制研究</w:t>
      </w:r>
    </w:p>
    <w:p>
      <w:pPr>
        <w:pStyle w:val="7"/>
        <w:numPr>
          <w:ilvl w:val="0"/>
          <w:numId w:val="4"/>
        </w:numPr>
        <w:tabs>
          <w:tab w:val="left" w:pos="1911"/>
        </w:tabs>
        <w:spacing w:before="153" w:after="0" w:line="240" w:lineRule="auto"/>
        <w:ind w:left="1910" w:right="0" w:hanging="270"/>
        <w:jc w:val="left"/>
        <w:rPr>
          <w:sz w:val="22"/>
        </w:rPr>
      </w:pPr>
      <w:r>
        <w:rPr>
          <w:spacing w:val="-8"/>
          <w:sz w:val="22"/>
        </w:rPr>
        <w:t>我省企业工资分配的市场化程度问题及对策研究</w:t>
      </w:r>
    </w:p>
    <w:p>
      <w:pPr>
        <w:pStyle w:val="7"/>
        <w:numPr>
          <w:ilvl w:val="0"/>
          <w:numId w:val="4"/>
        </w:numPr>
        <w:tabs>
          <w:tab w:val="left" w:pos="1914"/>
        </w:tabs>
        <w:spacing w:before="150" w:after="0" w:line="240" w:lineRule="auto"/>
        <w:ind w:left="1913" w:right="0" w:hanging="273"/>
        <w:jc w:val="left"/>
        <w:rPr>
          <w:sz w:val="22"/>
        </w:rPr>
      </w:pPr>
      <w:r>
        <w:rPr>
          <w:spacing w:val="-9"/>
          <w:sz w:val="22"/>
        </w:rPr>
        <w:t>劳动关系领域相关政策国际比较研究</w:t>
      </w:r>
    </w:p>
    <w:sectPr>
      <w:pgSz w:w="11910" w:h="16840"/>
      <w:pgMar w:top="1140" w:right="1680" w:bottom="11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805" w:hanging="164"/>
        <w:jc w:val="left"/>
      </w:pPr>
      <w:rPr>
        <w:rFonts w:hint="default" w:ascii="Times New Roman" w:hAnsi="Times New Roman" w:eastAsia="Times New Roman" w:cs="Times New Roman"/>
        <w:spacing w:val="-7"/>
        <w:w w:val="101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74" w:hanging="16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49" w:hanging="16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23" w:hanging="16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98" w:hanging="16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73" w:hanging="16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47" w:hanging="16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2" w:hanging="16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97" w:hanging="164"/>
      </w:pPr>
      <w:rPr>
        <w:rFonts w:hint="default"/>
        <w:lang w:val="zh-CN" w:eastAsia="zh-CN" w:bidi="zh-CN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815" w:hanging="162"/>
        <w:jc w:val="left"/>
      </w:pPr>
      <w:rPr>
        <w:rFonts w:hint="default" w:ascii="Times New Roman" w:hAnsi="Times New Roman" w:eastAsia="Times New Roman" w:cs="Times New Roman"/>
        <w:spacing w:val="-7"/>
        <w:w w:val="101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92" w:hanging="16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65" w:hanging="16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37" w:hanging="16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10" w:hanging="16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83" w:hanging="16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55" w:hanging="16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8" w:hanging="16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1" w:hanging="162"/>
      </w:pPr>
      <w:rPr>
        <w:rFonts w:hint="default"/>
        <w:lang w:val="zh-CN" w:eastAsia="zh-CN" w:bidi="zh-CN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815" w:hanging="162"/>
        <w:jc w:val="left"/>
      </w:pPr>
      <w:rPr>
        <w:rFonts w:hint="default" w:ascii="Times New Roman" w:hAnsi="Times New Roman" w:eastAsia="Times New Roman" w:cs="Times New Roman"/>
        <w:spacing w:val="-7"/>
        <w:w w:val="101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92" w:hanging="16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65" w:hanging="16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37" w:hanging="16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10" w:hanging="16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83" w:hanging="16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55" w:hanging="16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8" w:hanging="16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1" w:hanging="162"/>
      </w:pPr>
      <w:rPr>
        <w:rFonts w:hint="default"/>
        <w:lang w:val="zh-CN" w:eastAsia="zh-CN" w:bidi="zh-CN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815" w:hanging="162"/>
        <w:jc w:val="left"/>
      </w:pPr>
      <w:rPr>
        <w:rFonts w:hint="default" w:ascii="Times New Roman" w:hAnsi="Times New Roman" w:eastAsia="Times New Roman" w:cs="Times New Roman"/>
        <w:spacing w:val="-7"/>
        <w:w w:val="101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92" w:hanging="16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165" w:hanging="16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37" w:hanging="16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10" w:hanging="16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83" w:hanging="16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55" w:hanging="16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8" w:hanging="16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1" w:hanging="162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37534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Title"/>
    <w:basedOn w:val="1"/>
    <w:qFormat/>
    <w:uiPriority w:val="1"/>
    <w:pPr>
      <w:spacing w:before="87"/>
      <w:ind w:left="3410" w:right="1772" w:hanging="1543"/>
    </w:pPr>
    <w:rPr>
      <w:rFonts w:ascii="方正小标宋简体" w:hAnsi="方正小标宋简体" w:eastAsia="方正小标宋简体" w:cs="方正小标宋简体"/>
      <w:sz w:val="30"/>
      <w:szCs w:val="30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53"/>
      <w:ind w:left="1815" w:hanging="163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2024-04-24T01:08:00Z</dcterms:created>
  <dc:creator>Yx</dc:creator>
  <cp:lastModifiedBy>Yx</cp:lastModifiedBy>
  <dcterms:modified xsi:type="dcterms:W3CDTF">2024-04-24T01:10:11Z</dcterms:modified>
  <dc:title>npsBCBF.tmp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LastSaved">
    <vt:filetime>2024-04-24T00:00:00Z</vt:filetime>
  </property>
  <property fmtid="{D5CDD505-2E9C-101B-9397-08002B2CF9AE}" pid="4" name="KSOProductBuildVer">
    <vt:lpwstr>2052-11.8.2.8276</vt:lpwstr>
  </property>
</Properties>
</file>